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36" w:rsidRPr="00937536" w:rsidRDefault="00937536" w:rsidP="00937536">
      <w:pPr>
        <w:spacing w:after="0" w:line="240" w:lineRule="auto"/>
        <w:jc w:val="center"/>
        <w:rPr>
          <w:rStyle w:val="a8"/>
          <w:rFonts w:asciiTheme="majorBidi" w:hAnsiTheme="majorBidi" w:cstheme="majorBidi"/>
          <w:sz w:val="36"/>
          <w:szCs w:val="36"/>
          <w:rtl/>
        </w:rPr>
      </w:pPr>
      <w:r w:rsidRPr="00937536">
        <w:rPr>
          <w:rStyle w:val="a8"/>
          <w:rFonts w:asciiTheme="majorBidi" w:hAnsiTheme="majorBidi" w:cstheme="majorBidi"/>
          <w:sz w:val="36"/>
          <w:szCs w:val="36"/>
          <w:rtl/>
          <w:lang w:bidi="ar-EG"/>
        </w:rPr>
        <w:t>دورات إعداد</w:t>
      </w:r>
      <w:r w:rsidRPr="00937536">
        <w:rPr>
          <w:rStyle w:val="a8"/>
          <w:rFonts w:asciiTheme="majorBidi" w:hAnsiTheme="majorBidi" w:cstheme="majorBidi"/>
          <w:sz w:val="36"/>
          <w:szCs w:val="36"/>
          <w:rtl/>
        </w:rPr>
        <w:t xml:space="preserve"> المعلم الجامعي </w:t>
      </w:r>
    </w:p>
    <w:p w:rsidR="00937536" w:rsidRDefault="00937536" w:rsidP="009375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7536">
        <w:rPr>
          <w:rStyle w:val="a8"/>
          <w:rFonts w:asciiTheme="majorBidi" w:hAnsiTheme="majorBidi" w:cstheme="majorBidi"/>
          <w:sz w:val="36"/>
          <w:szCs w:val="36"/>
          <w:rtl/>
        </w:rPr>
        <w:t xml:space="preserve"> والتي تقام للمعيدين والمدرسين المساعدين بكليات جامعة سوهاج</w:t>
      </w:r>
    </w:p>
    <w:p w:rsidR="00937536" w:rsidRPr="00937536" w:rsidRDefault="00937536" w:rsidP="009375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F24BD" w:rsidRDefault="008704C7" w:rsidP="008704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93753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السمات المهنية لأعضاء هيئة التدريس بالجامعات</w:t>
      </w:r>
    </w:p>
    <w:p w:rsidR="00937536" w:rsidRPr="00937536" w:rsidRDefault="00937536" w:rsidP="008704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2F24BD" w:rsidRDefault="002F24BD" w:rsidP="008704C7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93753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إعداد</w:t>
      </w:r>
    </w:p>
    <w:p w:rsidR="00937536" w:rsidRPr="00937536" w:rsidRDefault="00937536" w:rsidP="008704C7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315F4E" w:rsidRPr="00937536" w:rsidRDefault="002F24BD" w:rsidP="008704C7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أ.د / محمد الأصمعي محروس </w:t>
      </w:r>
    </w:p>
    <w:p w:rsidR="0096520D" w:rsidRPr="00937536" w:rsidRDefault="008704C7" w:rsidP="008704C7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2F24BD" w:rsidRPr="0093753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أستاذ </w:t>
      </w:r>
      <w:r w:rsidR="0096520D" w:rsidRPr="0093753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متفرغ بقسم </w:t>
      </w:r>
      <w:r w:rsidR="002F24BD" w:rsidRPr="0093753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أصول التربية </w:t>
      </w:r>
    </w:p>
    <w:p w:rsidR="002F24BD" w:rsidRPr="00937536" w:rsidRDefault="002F24BD" w:rsidP="008704C7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كلية التربية ، جامعة سوهاج</w:t>
      </w:r>
    </w:p>
    <w:p w:rsidR="00A66407" w:rsidRPr="00937536" w:rsidRDefault="00A66407" w:rsidP="008704C7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83B43" w:rsidRPr="00937536" w:rsidRDefault="00053280" w:rsidP="009A26DB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383B43" w:rsidRPr="00937536" w:rsidRDefault="00383B43" w:rsidP="00A66407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السمات المهنية لأعضاء هيئة التدريس بالجامعات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ت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ظهر في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الأداء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التدريسى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، والأداء البحثى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إلى جانب المشاركة فى الريادة العلمية والإشراف على الأنشطة الطلابية </w:t>
      </w:r>
      <w:r w:rsidR="00A6640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والامتحانات.</w:t>
      </w:r>
    </w:p>
    <w:p w:rsidR="008704C7" w:rsidRPr="00937536" w:rsidRDefault="008704C7" w:rsidP="00383B43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وهنا تأتى أهمية التباحث حول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أهم </w:t>
      </w:r>
      <w:r w:rsidR="00383B43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هذه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السمات المهنية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أثناء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الآداء التدريسي في التعليم الجامعي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مع إبراز أهم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>الجوانب التربوية التى يجب أن تلازم أعضاء هيئة التدريس بالجامعة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أجل الوصول إلي مستوي معياري متقدم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للعملية التعليمية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في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الجامعة ،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383B43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>من أجل الوصول إلى الكفاءة التى تسمح لأعضاء هيئة التدريس بمزاولة (عملهم/ مهنتهم/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>وظيفتهم ) بطريقة منظمة وفعالة. فلا يخفى على أحد مدى ارتباط الجامعة ومكانتها بمكانة أساتذتها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>. كما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أن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سمعة وقوة أى جامعة تقاس ب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مدي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إ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رتفاع أو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إ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>نخفاض أداء علمائها وهم أعضاء هيئة التدريس بها.</w:t>
      </w:r>
    </w:p>
    <w:p w:rsidR="008704C7" w:rsidRPr="00937536" w:rsidRDefault="009A26DB" w:rsidP="003F24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ومن ناحية أخري فإن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الأخلاق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هي مظهر من مظاهر السمات المهنية لدي الفرد ، فهي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صورة النفس المستترة التى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تظهر فى الإنسان عند القيام بأفعاله التى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لا تكلف فيها، ولا تكون الأفعال خلقاً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للإنسان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إ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لا إذا كانت صادرة بطبيعتها لا عن تكلف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ولا عن إجهاد نفسى ولا عن تفكير.وخلق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عضو هيئة التدريس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يتكون من عنصرين أولهما: موقفه من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الجامعة التي يعمل فيها وبيئتها الاجتماعية.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وثانيهما: موقفه من نفسه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F24EA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83B43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5228E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وتتضمن هذه </w:t>
      </w:r>
      <w:r w:rsidR="005228E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السمات المهنية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الخ</w:t>
      </w:r>
      <w:r w:rsidR="005228E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ُ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لق</w:t>
      </w:r>
      <w:r w:rsidR="005228E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والذي يُعرف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بأنه سلوك الفرد سلوكاً معيناً </w:t>
      </w:r>
      <w:r w:rsidR="005228E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البيئة المحيطة به، وما تحتويه من كائنات، كذلك لما يعطيه لنفسه من قيم، وما يصدر عليها من أحكام.</w:t>
      </w:r>
    </w:p>
    <w:p w:rsidR="00303DF4" w:rsidRPr="00937536" w:rsidRDefault="005228E7" w:rsidP="00303DF4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كما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</w:rPr>
        <w:t>يعتبر التعليم الجامعي لوناً من ألوان التدريب على تربية الالتزام</w:t>
      </w:r>
      <w:r w:rsidR="00303DF4" w:rsidRPr="00937536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937536" w:rsidRDefault="008704C7" w:rsidP="003F24EA">
      <w:pPr>
        <w:spacing w:after="0" w:line="36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وهكذا فإن أفضل تدريب قيمى وأعمقه هو ذلك الذى يحصل عليه المرء من الصلة بغيره صلة ملائمة فى وحدة من العمل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الفكر </w:t>
      </w:r>
      <w:r w:rsidR="00303DF4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فال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جامعة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نتاج مجتمع، وهى</w:t>
      </w:r>
      <w:r w:rsidR="00303DF4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تمثل نمطاً من أنماط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الحياة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الاجتماعية</w:t>
      </w:r>
      <w:r w:rsidR="00303DF4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ومن ضمن أهدافها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تدريب </w:t>
      </w:r>
      <w:r w:rsidR="00303DF4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303DF4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طلاب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على </w:t>
      </w:r>
      <w:r w:rsidR="00303DF4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تنمية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الالتزام</w:t>
      </w:r>
      <w:r w:rsidR="00303DF4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بينهم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>، ويتم هذا بما تقدمه ال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جامعة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أنشطة</w:t>
      </w:r>
      <w:r w:rsidR="00303DF4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طلابية متمايزة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</w:t>
      </w:r>
      <w:r w:rsidR="003F24EA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</w:t>
      </w:r>
    </w:p>
    <w:p w:rsidR="00937536" w:rsidRDefault="00937536" w:rsidP="003F24EA">
      <w:pPr>
        <w:spacing w:after="0" w:line="36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96520D" w:rsidRPr="00937536" w:rsidRDefault="003F24EA" w:rsidP="003F24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 xml:space="preserve">    </w:t>
      </w:r>
      <w:r w:rsidR="0096520D" w:rsidRPr="0093753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المحاور الرئيسة في هذا الموضوع</w:t>
      </w:r>
      <w:r w:rsidR="00A66407" w:rsidRPr="0093753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:</w:t>
      </w:r>
    </w:p>
    <w:p w:rsidR="00E334E6" w:rsidRPr="00937536" w:rsidRDefault="008704C7" w:rsidP="0069358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 السمات المهنية والآداء التدريسي</w:t>
      </w:r>
      <w:r w:rsidR="00E334E6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بالجامعة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  <w:r w:rsidR="00E334E6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حيث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>يكون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عضو هيئة التدريس بمثابة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الخبير الذى يقوم </w:t>
      </w:r>
      <w:r w:rsidR="00E334E6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بتحليل ونقل البنية المعرفية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إلى المتعلم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، و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الذى يتمثل دوره فى </w:t>
      </w:r>
      <w:r w:rsidR="00E334E6" w:rsidRPr="00937536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9A26DB" w:rsidRPr="00937536" w:rsidRDefault="00E334E6" w:rsidP="0069358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أ- 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>الإصغاء و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>الفهم والمناقشات و</w:t>
      </w:r>
      <w:r w:rsidR="009A26DB" w:rsidRPr="00937536">
        <w:rPr>
          <w:rFonts w:asciiTheme="majorBidi" w:hAnsiTheme="majorBidi" w:cstheme="majorBidi"/>
          <w:b/>
          <w:bCs/>
          <w:sz w:val="28"/>
          <w:szCs w:val="28"/>
          <w:rtl/>
        </w:rPr>
        <w:t>كتابة الملاحظات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! </w:t>
      </w:r>
      <w:r w:rsidR="00106171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ب-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أم ماذا؟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( مناقشات حول هذا المحور). </w:t>
      </w:r>
    </w:p>
    <w:p w:rsidR="0069358C" w:rsidRPr="00937536" w:rsidRDefault="00106171" w:rsidP="0069358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-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السمات المهنية </w:t>
      </w:r>
      <w:r w:rsidR="0096520D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والإشراف علي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96520D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الأنشطة الطلابية بالجامعة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: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أ- هل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الأستاذ الجامعي هو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نموذج تتطلع إليه أنظار الآخرين ، وبخاصة طلابه ومعاونيه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، بحيث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تعتبر سلوكياته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من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أهم المؤثرات على سلوكياتهم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؟ ،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ب- أم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أن الأستاذ الجامعي بشر مثلهم ، و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لا يمكن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تصوره دائما بلا أخطاء وبلا هناّت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!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.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وماذا ي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فرض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هذا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على الأستاذ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من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مسئولي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ات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أيضاً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؟. </w:t>
      </w:r>
    </w:p>
    <w:p w:rsidR="008D531E" w:rsidRPr="00937536" w:rsidRDefault="0069358C" w:rsidP="0069358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هل يلزم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أن يحاول الأستاذ جاهداً أن يقدم في أقواله وأفعاله نموذجا طيبا يحتذي به طلابه ،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والعاملين معه ، ومن ثم يُصبح أستاذ الجامعة قدوة ومثل أعلي لهم بحيث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يتمثلون به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!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. </w:t>
      </w:r>
    </w:p>
    <w:p w:rsidR="00A66407" w:rsidRPr="00937536" w:rsidRDefault="0096520D" w:rsidP="003F24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- 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السمات المهنية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والمشاركة في</w:t>
      </w:r>
      <w:r w:rsidR="008704C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الريادة العلمية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بالجامعة </w:t>
      </w:r>
      <w:r w:rsidR="008D531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إن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المشاركة في الريادة العلمية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تسعي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إلي تحقيق أهداف منها: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تنمية عوامل الالتزام لدى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طلاب الجامعة ، وهذا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</w:rPr>
        <w:t>مرهون بتحرير هؤلاء الأفراد فكرياً وثقافياً وسياسياً واجتماعياً من المعوقات التى تحول دون تحقيق فضيلة الالتزام فى المجتمع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ويمثل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الأستاذ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هنا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نموذج وقدوة ، </w:t>
      </w:r>
      <w:r w:rsidR="0069358C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حيث يبعث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الأستاذ برسائل خ</w:t>
      </w:r>
      <w:r w:rsidR="00A6640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ُ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لقية مؤثرة في كل ما يقوله ويفعلة </w:t>
      </w:r>
      <w:r w:rsidR="00A66407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أثناء ممارسته لمهام ريادته العلمية . كما أن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مسئوليته المهنية عن النمو الخلقي لطلابه ربما تكون أخطر من مسئوليته عن نموهم العلمي أو المعرفي .</w:t>
      </w:r>
    </w:p>
    <w:p w:rsidR="009B4942" w:rsidRPr="00937536" w:rsidRDefault="00A66407" w:rsidP="00A6640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إن </w:t>
      </w:r>
      <w:r w:rsidR="0036354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الأستاذ الجامعي مسئول عن السعي بكافة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السبل المباشرة وغير المباشرة لأ</w:t>
      </w:r>
      <w:r w:rsidR="0036354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ن يغرس في نفوس طلابه القيم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والمثل العليا</w:t>
      </w:r>
      <w:r w:rsidR="0036354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والأخلاق الحميدة ، وبخاصة قيم التقدم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وصنع الحضارات </w:t>
      </w:r>
      <w:r w:rsidR="0036354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مثل قيمة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تقدير </w:t>
      </w:r>
      <w:r w:rsidR="0036354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الوقت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واستثماره </w:t>
      </w:r>
      <w:r w:rsidR="0036354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، وإتقان العمل ، وقبول الآخر والتعددية ، والحوار البناء ، والنقد الذاتي ، واتباع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أساليب </w:t>
      </w:r>
      <w:r w:rsidR="0036354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المنهج العلمي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في صيرورة الحياة </w:t>
      </w:r>
      <w:r w:rsidR="0036354E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. </w:t>
      </w:r>
    </w:p>
    <w:p w:rsidR="002F24BD" w:rsidRPr="00937536" w:rsidRDefault="00A66407" w:rsidP="00A6640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 xml:space="preserve">الخلاصة : هل من سبيل في السعي نحو </w:t>
      </w:r>
      <w:r w:rsidR="0096520D"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تربية الضمير:</w:t>
      </w:r>
      <w:r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36354E"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تعقيب العقل علي الفعل</w:t>
      </w:r>
      <w:r w:rsidR="00076511"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 xml:space="preserve"> - </w:t>
      </w:r>
      <w:r w:rsidR="0036354E"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اتقان العمل</w:t>
      </w:r>
      <w:r w:rsidR="00076511"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 xml:space="preserve"> - </w:t>
      </w:r>
      <w:r w:rsidR="0096520D"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النحنية بديلاً عن الأنا</w:t>
      </w:r>
      <w:r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 xml:space="preserve"> .</w:t>
      </w:r>
    </w:p>
    <w:p w:rsidR="008704C7" w:rsidRPr="00937536" w:rsidRDefault="008704C7" w:rsidP="000532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أخلاقيات العــلـم والعـلـماء لدي الرواد</w:t>
      </w:r>
      <w:r w:rsidR="00053280"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في الفكر الفلسفي الألماني والعربي</w:t>
      </w:r>
    </w:p>
    <w:p w:rsidR="002F24BD" w:rsidRPr="00937536" w:rsidRDefault="008704C7" w:rsidP="008704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أرؤى متشابهة أم متمايزة ؟ !</w:t>
      </w:r>
    </w:p>
    <w:p w:rsidR="002F24BD" w:rsidRPr="00937536" w:rsidRDefault="002F24BD" w:rsidP="008704C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أولاً – رواد  في الفكر الفلسفي الألـماني :</w:t>
      </w:r>
    </w:p>
    <w:tbl>
      <w:tblPr>
        <w:tblStyle w:val="a3"/>
        <w:bidiVisual/>
        <w:tblW w:w="0" w:type="auto"/>
        <w:tblLayout w:type="fixed"/>
        <w:tblLook w:val="01E0"/>
      </w:tblPr>
      <w:tblGrid>
        <w:gridCol w:w="5068"/>
        <w:gridCol w:w="4786"/>
      </w:tblGrid>
      <w:tr w:rsidR="002F24BD" w:rsidRPr="00937536" w:rsidTr="003F24EA">
        <w:tc>
          <w:tcPr>
            <w:tcW w:w="5068" w:type="dxa"/>
          </w:tcPr>
          <w:p w:rsidR="002F24BD" w:rsidRPr="00937536" w:rsidRDefault="002F24BD" w:rsidP="008704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الرواد من الفلاسفة</w:t>
            </w:r>
          </w:p>
        </w:tc>
        <w:tc>
          <w:tcPr>
            <w:tcW w:w="4786" w:type="dxa"/>
          </w:tcPr>
          <w:p w:rsidR="002F24BD" w:rsidRPr="00937536" w:rsidRDefault="002F24BD" w:rsidP="008704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المنتج الفكري من هؤلاء الرواد</w:t>
            </w:r>
          </w:p>
        </w:tc>
      </w:tr>
      <w:tr w:rsidR="002F24BD" w:rsidRPr="00937536" w:rsidTr="003F24EA">
        <w:tc>
          <w:tcPr>
            <w:tcW w:w="5068" w:type="dxa"/>
          </w:tcPr>
          <w:p w:rsidR="002F24BD" w:rsidRPr="00937536" w:rsidRDefault="00053280" w:rsidP="000532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المرحلة الأولي : ( </w:t>
            </w:r>
            <w:r w:rsidR="002F24BD"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تطور الفلسفة من المثالية إلي الرومانتيكية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- </w:t>
            </w:r>
            <w:r w:rsidR="002F24BD"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فلسفة التطور علي الطريقة العلمية ) :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- كانت  ( 1724- 1804م ) .</w:t>
            </w:r>
          </w:p>
          <w:p w:rsidR="002F24BD" w:rsidRPr="00937536" w:rsidRDefault="002F24BD" w:rsidP="008704C7">
            <w:pPr>
              <w:numPr>
                <w:ilvl w:val="0"/>
                <w:numId w:val="1"/>
              </w:numPr>
              <w:tabs>
                <w:tab w:val="clear" w:pos="720"/>
                <w:tab w:val="num" w:pos="278"/>
              </w:tabs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فشته  ( 1762- 1814م ) .  </w:t>
            </w:r>
          </w:p>
          <w:p w:rsidR="002F24BD" w:rsidRPr="00937536" w:rsidRDefault="002F24BD" w:rsidP="008704C7">
            <w:pPr>
              <w:numPr>
                <w:ilvl w:val="0"/>
                <w:numId w:val="1"/>
              </w:numPr>
              <w:tabs>
                <w:tab w:val="clear" w:pos="720"/>
                <w:tab w:val="num" w:pos="278"/>
              </w:tabs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شلنج ( 1775- 1854م ) .  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موليشط ( 1822- 1893م ) .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فوجت   ( 1817- 1895م ) .</w:t>
            </w:r>
          </w:p>
          <w:p w:rsidR="002F24BD" w:rsidRPr="00937536" w:rsidRDefault="002F24BD" w:rsidP="008704C7">
            <w:pPr>
              <w:numPr>
                <w:ilvl w:val="0"/>
                <w:numId w:val="1"/>
              </w:numPr>
              <w:tabs>
                <w:tab w:val="clear" w:pos="720"/>
                <w:tab w:val="num" w:pos="278"/>
              </w:tabs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بوخنر   ( 1824- 1899م ) .     </w:t>
            </w:r>
          </w:p>
        </w:tc>
        <w:tc>
          <w:tcPr>
            <w:tcW w:w="4786" w:type="dxa"/>
          </w:tcPr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lastRenderedPageBreak/>
              <w:t>- العالم نتاج قامت به الذات من خلال الفكر وحده: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Transcendental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- كل شي في الوجود يُرد إلي العلة والمعلول ، ومن ثم دافع هؤلاء الرواد عن الحتمية الشاملة .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Determinism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- التمييز بين : العقل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Vernunft  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والفهم 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Verstand</w:t>
            </w:r>
          </w:p>
        </w:tc>
      </w:tr>
      <w:tr w:rsidR="002F24BD" w:rsidRPr="00937536" w:rsidTr="003F24EA">
        <w:tc>
          <w:tcPr>
            <w:tcW w:w="5068" w:type="dxa"/>
          </w:tcPr>
          <w:p w:rsidR="002F24BD" w:rsidRPr="00937536" w:rsidRDefault="002F24BD" w:rsidP="000532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المرحلة الثانية </w:t>
            </w:r>
            <w:r w:rsidR="00053280"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تطور الفلسفة من المثالية إلي الجدلية :</w:t>
            </w:r>
            <w:r w:rsidR="00A04ED8"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فلسفة التطور علي طريقة الإرادة الحرة </w:t>
            </w:r>
          </w:p>
          <w:p w:rsidR="002F24BD" w:rsidRPr="00937536" w:rsidRDefault="002F24BD" w:rsidP="008704C7">
            <w:pPr>
              <w:numPr>
                <w:ilvl w:val="0"/>
                <w:numId w:val="1"/>
              </w:numPr>
              <w:tabs>
                <w:tab w:val="clear" w:pos="720"/>
                <w:tab w:val="num" w:pos="278"/>
              </w:tabs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هيجل   ( 1770- 1831م ) . </w:t>
            </w:r>
          </w:p>
          <w:p w:rsidR="002F24BD" w:rsidRPr="00937536" w:rsidRDefault="002F24BD" w:rsidP="008704C7">
            <w:pPr>
              <w:numPr>
                <w:ilvl w:val="0"/>
                <w:numId w:val="1"/>
              </w:numPr>
              <w:tabs>
                <w:tab w:val="clear" w:pos="720"/>
                <w:tab w:val="num" w:pos="278"/>
              </w:tabs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فويرباخ( 1804- 1872م ) .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دلتاي   ( 1833- 1911م ) .</w:t>
            </w:r>
          </w:p>
        </w:tc>
        <w:tc>
          <w:tcPr>
            <w:tcW w:w="4786" w:type="dxa"/>
          </w:tcPr>
          <w:p w:rsidR="002F24BD" w:rsidRPr="00937536" w:rsidRDefault="002F24BD" w:rsidP="000532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يُوجد العالم عن طريق الإرادة القائمة علي الحرية  ومن ثم أقر هذا الفكر بوجود النسبية الثقافية ، فالمعرفة مرهونة بزمانها وبالسياق الاجتماعي الذي تتكون في ظل كيان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Desendliche 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أو تصور العالم  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Weltanschauung</w:t>
            </w:r>
          </w:p>
        </w:tc>
      </w:tr>
      <w:tr w:rsidR="002F24BD" w:rsidRPr="00937536" w:rsidTr="003F24EA">
        <w:tc>
          <w:tcPr>
            <w:tcW w:w="5068" w:type="dxa"/>
          </w:tcPr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المرحلة الثالثة( تطور الفلسفة من الجدلية إلي الوجودية</w:t>
            </w:r>
            <w:r w:rsidR="00A04ED8"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فلسفة التطور علي طريق الوعي الكلي المتعالي ): 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ليبمان   ( 1840- 1912م ) .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بتزولت ( 1862- 1929م ) .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فولكت  ( 1848- 1930م ) .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هسرل  ( 1859- 1938م ) .</w:t>
            </w:r>
          </w:p>
          <w:p w:rsidR="002F24BD" w:rsidRPr="00937536" w:rsidRDefault="002F24BD" w:rsidP="008704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هارتمان (1882-1950م ) .</w:t>
            </w:r>
          </w:p>
          <w:p w:rsidR="002F24BD" w:rsidRPr="00937536" w:rsidRDefault="002F24BD" w:rsidP="008704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ياسبرز  (1883- 1969م ) .</w:t>
            </w:r>
          </w:p>
        </w:tc>
        <w:tc>
          <w:tcPr>
            <w:tcW w:w="4786" w:type="dxa"/>
          </w:tcPr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بدأ التفكير في الوجود من حيث ما هو موجود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Dasein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، وأن المضمون العقلي للظواهر يمثل رؤية الماهيات :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Essence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وظهرت المعاني التي تتعدي الوعي إلي التصور في الوجود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Wessenschau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من حيث ما هو موجود في ذاته      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Ansichseiende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وموجود في الموقف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Befindlichkeit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053280" w:rsidRPr="00937536" w:rsidRDefault="00053280" w:rsidP="0005328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ثانياً – رواد  في الفكر الفلسفي العـربي :</w:t>
      </w:r>
    </w:p>
    <w:tbl>
      <w:tblPr>
        <w:tblStyle w:val="a3"/>
        <w:bidiVisual/>
        <w:tblW w:w="11216" w:type="dxa"/>
        <w:tblInd w:w="-694" w:type="dxa"/>
        <w:tblLook w:val="01E0"/>
      </w:tblPr>
      <w:tblGrid>
        <w:gridCol w:w="6037"/>
        <w:gridCol w:w="5179"/>
      </w:tblGrid>
      <w:tr w:rsidR="002F24BD" w:rsidRPr="00937536" w:rsidTr="00937536">
        <w:tc>
          <w:tcPr>
            <w:tcW w:w="5246" w:type="dxa"/>
          </w:tcPr>
          <w:p w:rsidR="002F24BD" w:rsidRPr="00937536" w:rsidRDefault="002F24BD" w:rsidP="008704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الرواد من الفلاسفة</w:t>
            </w:r>
          </w:p>
        </w:tc>
        <w:tc>
          <w:tcPr>
            <w:tcW w:w="4500" w:type="dxa"/>
          </w:tcPr>
          <w:p w:rsidR="002F24BD" w:rsidRPr="00937536" w:rsidRDefault="002F24BD" w:rsidP="008704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المنتج الفكري من هؤلاء الرواد</w:t>
            </w:r>
          </w:p>
          <w:p w:rsidR="003F24EA" w:rsidRPr="00937536" w:rsidRDefault="003F24EA" w:rsidP="008704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F24BD" w:rsidRPr="00937536" w:rsidTr="00937536">
        <w:tc>
          <w:tcPr>
            <w:tcW w:w="5246" w:type="dxa"/>
          </w:tcPr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المرحلة الأولي ( انفتاح رواد الفكر الفلسفي العربي علي   ملامح التفكير العلمي ) :</w:t>
            </w:r>
          </w:p>
          <w:p w:rsidR="002F24BD" w:rsidRPr="00937536" w:rsidRDefault="002F24BD" w:rsidP="008704C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- جابر بن حيان ت 200 هجرية .</w:t>
            </w:r>
          </w:p>
          <w:p w:rsidR="002F24BD" w:rsidRPr="00937536" w:rsidRDefault="002F24BD" w:rsidP="008704C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الكندي: ت 252 هـ / 866م .</w:t>
            </w:r>
          </w:p>
          <w:p w:rsidR="002F24BD" w:rsidRPr="00937536" w:rsidRDefault="002F24BD" w:rsidP="008704C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الرازي: ت 321 هـ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 942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 .</w:t>
            </w:r>
          </w:p>
          <w:p w:rsidR="002F24BD" w:rsidRPr="00937536" w:rsidRDefault="002F24BD" w:rsidP="008704C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الحسن بن الهيثم ت 1029م .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-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ابن سينا: ت 428 هـ / 1037م .</w:t>
            </w:r>
          </w:p>
          <w:p w:rsidR="002F24BD" w:rsidRPr="00937536" w:rsidRDefault="002F24BD" w:rsidP="003F24E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رشيد الدين الصوري ت 1241 م </w:t>
            </w:r>
          </w:p>
        </w:tc>
        <w:tc>
          <w:tcPr>
            <w:tcW w:w="4500" w:type="dxa"/>
          </w:tcPr>
          <w:p w:rsidR="00A04ED8" w:rsidRPr="00937536" w:rsidRDefault="00A04ED8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- ابتكار العلماء المسلمين للمنهج التجريبي ،   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وللآلات المستخدمة في البحث العلمي .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التفرقة بين الكيفيات والكميات.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الاعتقاد في مبدأ الحتمية .</w:t>
            </w:r>
          </w:p>
          <w:p w:rsidR="002F24BD" w:rsidRPr="00937536" w:rsidRDefault="002F24BD" w:rsidP="00A04E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سيادة ثقافة العلم التجريبي بين العلماء .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F24BD" w:rsidRPr="00937536" w:rsidTr="00937536">
        <w:trPr>
          <w:trHeight w:val="2681"/>
        </w:trPr>
        <w:tc>
          <w:tcPr>
            <w:tcW w:w="5246" w:type="dxa"/>
          </w:tcPr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/>
              </w:rPr>
            </w:pPr>
          </w:p>
          <w:p w:rsidR="002F24BD" w:rsidRPr="00937536" w:rsidRDefault="002F24BD" w:rsidP="008704C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/>
              </w:rPr>
              <w:t xml:space="preserve">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المرحلة الثانية (طريقة الاتجاه العقلي في فهم الوجود) :</w:t>
            </w: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en-GB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/>
              </w:rPr>
              <w:t>محمد عبده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  <w:t xml:space="preserve"> ( 1849- 1905م ) .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/>
              </w:rPr>
              <w:t>-</w:t>
            </w:r>
          </w:p>
          <w:p w:rsidR="002F24BD" w:rsidRPr="00937536" w:rsidRDefault="002F24BD" w:rsidP="00053280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/>
              </w:rPr>
              <w:t>- محمد إقبال (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  <w:t xml:space="preserve"> 1877م – 1938م ) .</w:t>
            </w:r>
          </w:p>
        </w:tc>
        <w:tc>
          <w:tcPr>
            <w:tcW w:w="4500" w:type="dxa"/>
          </w:tcPr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/>
              </w:rPr>
            </w:pPr>
          </w:p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/>
              </w:rPr>
              <w:t xml:space="preserve">-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 العلم الاستنباطي العقلي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يهدي إلى الحق ويؤسس لمنظومة أخلاقية سامية .</w:t>
            </w:r>
          </w:p>
          <w:p w:rsidR="002F24BD" w:rsidRPr="00937536" w:rsidRDefault="002F24BD" w:rsidP="00E044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EG"/>
              </w:rPr>
              <w:t xml:space="preserve">-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 العلم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نفسه محايد ، حيث يسعى لتقديم تفسيراً للأسباب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الكامنة وراء الظواهر ورصدها من خلال التجربة والاختبار والقياس.</w:t>
            </w:r>
          </w:p>
        </w:tc>
      </w:tr>
      <w:tr w:rsidR="002F24BD" w:rsidRPr="00937536" w:rsidTr="00937536">
        <w:trPr>
          <w:trHeight w:val="2249"/>
        </w:trPr>
        <w:tc>
          <w:tcPr>
            <w:tcW w:w="5246" w:type="dxa"/>
          </w:tcPr>
          <w:p w:rsidR="002F24BD" w:rsidRPr="00937536" w:rsidRDefault="002F24BD" w:rsidP="00053280">
            <w:pPr>
              <w:tabs>
                <w:tab w:val="left" w:pos="173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  <w:t>المرحلة الثالثة ( طريقة التمييز بين الاستنباط العقلي  والعلم ) :</w:t>
            </w:r>
          </w:p>
          <w:p w:rsidR="002F24BD" w:rsidRPr="00937536" w:rsidRDefault="002F24BD" w:rsidP="008704C7">
            <w:pPr>
              <w:tabs>
                <w:tab w:val="left" w:pos="173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  <w:t>- طه حسين ( 1889- 1973م ).</w:t>
            </w:r>
          </w:p>
          <w:p w:rsidR="002F24BD" w:rsidRPr="00937536" w:rsidRDefault="002F24BD" w:rsidP="008704C7">
            <w:pPr>
              <w:tabs>
                <w:tab w:val="left" w:pos="173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  <w:t>- توفيق الحكيم ( 1898- 1987م ) .</w:t>
            </w:r>
          </w:p>
          <w:p w:rsidR="002F24BD" w:rsidRPr="00937536" w:rsidRDefault="002F24BD" w:rsidP="008704C7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/>
              </w:rPr>
              <w:t>- التفتازاني ( 1930- 1994م ) .</w:t>
            </w:r>
          </w:p>
          <w:p w:rsidR="002F24BD" w:rsidRPr="00937536" w:rsidRDefault="002F24BD" w:rsidP="00E04408">
            <w:pPr>
              <w:tabs>
                <w:tab w:val="left" w:pos="173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eastAsia="en-GB" w:bidi="ar-EG"/>
              </w:rPr>
              <w:t>- عبد الرحمن البدوي ( 1939- 2002م ) .</w:t>
            </w:r>
          </w:p>
        </w:tc>
        <w:tc>
          <w:tcPr>
            <w:tcW w:w="4500" w:type="dxa"/>
          </w:tcPr>
          <w:p w:rsidR="002F24BD" w:rsidRPr="00937536" w:rsidRDefault="002F24BD" w:rsidP="00870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التمييز بين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الاستنباط العقلي العام وبين العلم الطبيعي  .</w:t>
            </w:r>
          </w:p>
          <w:p w:rsidR="002F24BD" w:rsidRPr="00937536" w:rsidRDefault="002F24BD" w:rsidP="00E044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 أن العلماء هم الأكثر وعيا بالصعوبات التي تعترض طريقة توجيه العلم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نحو الاستعمالات الخيّرة والمفيدة للبشرية قاطبة.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324"/>
        <w:bidiVisual/>
        <w:tblW w:w="11216" w:type="dxa"/>
        <w:tblLook w:val="01E0"/>
      </w:tblPr>
      <w:tblGrid>
        <w:gridCol w:w="4238"/>
        <w:gridCol w:w="1146"/>
        <w:gridCol w:w="1248"/>
        <w:gridCol w:w="1146"/>
        <w:gridCol w:w="1146"/>
        <w:gridCol w:w="1146"/>
        <w:gridCol w:w="1146"/>
      </w:tblGrid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lastRenderedPageBreak/>
              <w:t>أخلاقيات العـلم والعـلماء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الفلاسفة الألمان المرحلة الأولي</w:t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الفلاسفة الألمان المرحلة الثانية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الفلاسفة الألمان المرحلة الثالثة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الفلاسفة العرب المرحلة الأولي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الفلاسفة العرب المرحلة الثانية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الفلاسفة العرب المرحلة الثالثة</w:t>
            </w:r>
          </w:p>
        </w:tc>
      </w:tr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أخلاقيات العـلم مطلقة وغير متغيرة .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أخلاقيات العـلم نسبية يحددها القانون .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أخلاقيات العـلم منتقاة علي حرية الاختيار 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العـلماء نماذج ومثل عليا في البصيرة والوعي .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العـلماء باحثون عن الإمكانات والقدرات الموضوعية. 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العـلماء تجريبيون ويملكون حرية الاختيار .  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أنشطة العـلم قائمة علي مهارات التفكير والتطبيق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2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3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أنشطة العـلم قائمة علي التدريب من أجل التميز 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3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3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937536" w:rsidRPr="00937536" w:rsidTr="00937536">
        <w:tc>
          <w:tcPr>
            <w:tcW w:w="4238" w:type="dxa"/>
          </w:tcPr>
          <w:p w:rsidR="00937536" w:rsidRPr="00937536" w:rsidRDefault="00937536" w:rsidP="009375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أنشطة العـلم قائمة علي التجريب من أجل التنوع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248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3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114300"/>
                  <wp:effectExtent l="19050" t="0" r="0" b="0"/>
                  <wp:docPr id="3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</w:t>
            </w:r>
          </w:p>
        </w:tc>
        <w:tc>
          <w:tcPr>
            <w:tcW w:w="1146" w:type="dxa"/>
          </w:tcPr>
          <w:p w:rsidR="00937536" w:rsidRPr="00937536" w:rsidRDefault="00937536" w:rsidP="00937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375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</w:tr>
    </w:tbl>
    <w:p w:rsidR="003F24EA" w:rsidRPr="00937536" w:rsidRDefault="003F24EA" w:rsidP="00E044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F24EA" w:rsidRPr="00937536" w:rsidRDefault="003F24EA" w:rsidP="00E044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F24EA" w:rsidRPr="00937536" w:rsidRDefault="003F24EA" w:rsidP="00E0440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</w:p>
    <w:p w:rsidR="002F24BD" w:rsidRPr="00937536" w:rsidRDefault="002F24BD" w:rsidP="00E0440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ثالثاً – رؤى الرواد في الفكر الفلسفي الألـماني والعـربي</w:t>
      </w:r>
      <w:r w:rsidR="00E04408"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 xml:space="preserve">حول أخلاقـيات العـلم والعـلماء </w:t>
      </w:r>
    </w:p>
    <w:p w:rsidR="008D531E" w:rsidRPr="00937536" w:rsidRDefault="008D531E" w:rsidP="00E0440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</w:p>
    <w:p w:rsidR="008D531E" w:rsidRPr="00937536" w:rsidRDefault="008D531E" w:rsidP="008D531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  <w:r w:rsidRPr="0093753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مناقشات مفتوحة</w:t>
      </w:r>
    </w:p>
    <w:p w:rsidR="002F24BD" w:rsidRPr="00937536" w:rsidRDefault="002F24BD" w:rsidP="00383B43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</w:p>
    <w:sectPr w:rsidR="002F24BD" w:rsidRPr="00937536" w:rsidSect="0017515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91" w:rsidRDefault="00011D91" w:rsidP="007F0C3F">
      <w:pPr>
        <w:spacing w:after="0" w:line="240" w:lineRule="auto"/>
      </w:pPr>
      <w:r>
        <w:separator/>
      </w:r>
    </w:p>
  </w:endnote>
  <w:endnote w:type="continuationSeparator" w:id="1">
    <w:p w:rsidR="00011D91" w:rsidRDefault="00011D91" w:rsidP="007F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51" w:rsidRDefault="00E67F1C" w:rsidP="007E6A55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F67B42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01851" w:rsidRDefault="00011D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51" w:rsidRDefault="00E67F1C" w:rsidP="007E6A55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F67B42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937536">
      <w:rPr>
        <w:rStyle w:val="a5"/>
        <w:noProof/>
        <w:rtl/>
      </w:rPr>
      <w:t>4</w:t>
    </w:r>
    <w:r>
      <w:rPr>
        <w:rStyle w:val="a5"/>
        <w:rtl/>
      </w:rPr>
      <w:fldChar w:fldCharType="end"/>
    </w:r>
  </w:p>
  <w:p w:rsidR="00601851" w:rsidRDefault="00011D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91" w:rsidRDefault="00011D91" w:rsidP="007F0C3F">
      <w:pPr>
        <w:spacing w:after="0" w:line="240" w:lineRule="auto"/>
      </w:pPr>
      <w:r>
        <w:separator/>
      </w:r>
    </w:p>
  </w:footnote>
  <w:footnote w:type="continuationSeparator" w:id="1">
    <w:p w:rsidR="00011D91" w:rsidRDefault="00011D91" w:rsidP="007F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D6A"/>
    <w:multiLevelType w:val="hybridMultilevel"/>
    <w:tmpl w:val="AC7ED0DA"/>
    <w:lvl w:ilvl="0" w:tplc="C512F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0E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86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22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89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8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EC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6F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E7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FC70E1"/>
    <w:multiLevelType w:val="hybridMultilevel"/>
    <w:tmpl w:val="67BE42BA"/>
    <w:lvl w:ilvl="0" w:tplc="580A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C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6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21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09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CD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AE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8F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64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1D3688"/>
    <w:multiLevelType w:val="hybridMultilevel"/>
    <w:tmpl w:val="8E4461D8"/>
    <w:lvl w:ilvl="0" w:tplc="0B9A8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F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08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26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C21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03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81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4C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43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036F12"/>
    <w:multiLevelType w:val="hybridMultilevel"/>
    <w:tmpl w:val="C834E90C"/>
    <w:lvl w:ilvl="0" w:tplc="1DFE0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E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0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E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00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0C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66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A0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A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A84FCB"/>
    <w:multiLevelType w:val="hybridMultilevel"/>
    <w:tmpl w:val="716CC704"/>
    <w:lvl w:ilvl="0" w:tplc="7890B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D373B"/>
    <w:multiLevelType w:val="hybridMultilevel"/>
    <w:tmpl w:val="0D62BEEA"/>
    <w:lvl w:ilvl="0" w:tplc="89BE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C7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85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23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06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AC9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82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A9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AE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4BD"/>
    <w:rsid w:val="00011D91"/>
    <w:rsid w:val="00015712"/>
    <w:rsid w:val="00053280"/>
    <w:rsid w:val="00076511"/>
    <w:rsid w:val="00106171"/>
    <w:rsid w:val="00120F42"/>
    <w:rsid w:val="001D0DB3"/>
    <w:rsid w:val="002F24BD"/>
    <w:rsid w:val="00303DF4"/>
    <w:rsid w:val="00315F4E"/>
    <w:rsid w:val="0036354E"/>
    <w:rsid w:val="00383B43"/>
    <w:rsid w:val="003F24EA"/>
    <w:rsid w:val="005228E7"/>
    <w:rsid w:val="0069358C"/>
    <w:rsid w:val="007F0C3F"/>
    <w:rsid w:val="008704C7"/>
    <w:rsid w:val="008D531E"/>
    <w:rsid w:val="00937536"/>
    <w:rsid w:val="0096520D"/>
    <w:rsid w:val="009A26DB"/>
    <w:rsid w:val="009B4942"/>
    <w:rsid w:val="00A04ED8"/>
    <w:rsid w:val="00A66407"/>
    <w:rsid w:val="00D22BD7"/>
    <w:rsid w:val="00DB41B4"/>
    <w:rsid w:val="00E04408"/>
    <w:rsid w:val="00E334E6"/>
    <w:rsid w:val="00E67F1C"/>
    <w:rsid w:val="00F336A7"/>
    <w:rsid w:val="00F67B42"/>
    <w:rsid w:val="00FD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4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2F24B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صفحة Char"/>
    <w:basedOn w:val="a0"/>
    <w:link w:val="a4"/>
    <w:rsid w:val="002F24B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F24BD"/>
  </w:style>
  <w:style w:type="paragraph" w:styleId="a6">
    <w:name w:val="Balloon Text"/>
    <w:basedOn w:val="a"/>
    <w:link w:val="Char0"/>
    <w:uiPriority w:val="99"/>
    <w:semiHidden/>
    <w:unhideWhenUsed/>
    <w:rsid w:val="002F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F24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37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296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8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3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F1E9-4A1C-4A73-BE4E-0377E414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 asmay</dc:creator>
  <cp:keywords/>
  <dc:description/>
  <cp:lastModifiedBy>bagosh</cp:lastModifiedBy>
  <cp:revision>18</cp:revision>
  <dcterms:created xsi:type="dcterms:W3CDTF">2015-02-08T09:50:00Z</dcterms:created>
  <dcterms:modified xsi:type="dcterms:W3CDTF">2018-10-04T10:40:00Z</dcterms:modified>
</cp:coreProperties>
</file>